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t>Лекция №10. Функциональные средства создания программно-технических комплексов управления современных контроллеров</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t>Цель лекции:</w:t>
      </w:r>
      <w:r w:rsidRPr="00AE2F6E">
        <w:rPr>
          <w:rFonts w:ascii="Times New Roman" w:eastAsia="Times New Roman" w:hAnsi="Times New Roman" w:cs="Times New Roman"/>
          <w:color w:val="000000"/>
          <w:sz w:val="28"/>
          <w:szCs w:val="28"/>
          <w:lang w:eastAsia="ru-RU"/>
        </w:rPr>
        <w:t> обучение выбору и проектированию аппаратно-технических средств систем управления на современных свободно-программируемых контроллерах.</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t>10.1 Аналоговые входные и выходные модули</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Основная особенность СПЛК модульность структуры предполагает разнообразие входных и выходных модулей. В качестве входных модулей СПЛК используются: устройства  ввода-вывода, сигнальные модули, функциональные модули, техника взаимодействия блоков.</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В качестве устрой</w:t>
      </w:r>
      <w:proofErr w:type="gramStart"/>
      <w:r w:rsidRPr="00AE2F6E">
        <w:rPr>
          <w:rFonts w:ascii="Times New Roman" w:eastAsia="Times New Roman" w:hAnsi="Times New Roman" w:cs="Times New Roman"/>
          <w:color w:val="000000"/>
          <w:sz w:val="28"/>
          <w:szCs w:val="28"/>
          <w:lang w:eastAsia="ru-RU"/>
        </w:rPr>
        <w:t>ств  вв</w:t>
      </w:r>
      <w:proofErr w:type="gramEnd"/>
      <w:r w:rsidRPr="00AE2F6E">
        <w:rPr>
          <w:rFonts w:ascii="Times New Roman" w:eastAsia="Times New Roman" w:hAnsi="Times New Roman" w:cs="Times New Roman"/>
          <w:color w:val="000000"/>
          <w:sz w:val="28"/>
          <w:szCs w:val="28"/>
          <w:lang w:eastAsia="ru-RU"/>
        </w:rPr>
        <w:t>ода-вывода используются: аналоговые устройства ввода </w:t>
      </w:r>
      <w:r w:rsidRPr="00AE2F6E">
        <w:rPr>
          <w:rFonts w:ascii="Times New Roman" w:eastAsia="Times New Roman" w:hAnsi="Times New Roman" w:cs="Times New Roman"/>
          <w:color w:val="000000"/>
          <w:sz w:val="28"/>
          <w:szCs w:val="28"/>
          <w:lang w:val="en-US" w:eastAsia="ru-RU"/>
        </w:rPr>
        <w:t>AI</w:t>
      </w:r>
      <w:r w:rsidRPr="00AE2F6E">
        <w:rPr>
          <w:rFonts w:ascii="Times New Roman" w:eastAsia="Times New Roman" w:hAnsi="Times New Roman" w:cs="Times New Roman"/>
          <w:color w:val="000000"/>
          <w:sz w:val="28"/>
          <w:szCs w:val="28"/>
          <w:lang w:eastAsia="ru-RU"/>
        </w:rPr>
        <w:t>, аналоговые устройства вывода </w:t>
      </w:r>
      <w:r w:rsidRPr="00AE2F6E">
        <w:rPr>
          <w:rFonts w:ascii="Times New Roman" w:eastAsia="Times New Roman" w:hAnsi="Times New Roman" w:cs="Times New Roman"/>
          <w:color w:val="000000"/>
          <w:sz w:val="28"/>
          <w:szCs w:val="28"/>
          <w:lang w:val="en-US" w:eastAsia="ru-RU"/>
        </w:rPr>
        <w:t>AO</w:t>
      </w:r>
      <w:r w:rsidRPr="00AE2F6E">
        <w:rPr>
          <w:rFonts w:ascii="Times New Roman" w:eastAsia="Times New Roman" w:hAnsi="Times New Roman" w:cs="Times New Roman"/>
          <w:color w:val="000000"/>
          <w:sz w:val="28"/>
          <w:szCs w:val="28"/>
          <w:lang w:eastAsia="ru-RU"/>
        </w:rPr>
        <w:t>, дискретные устройства ввода </w:t>
      </w:r>
      <w:r w:rsidRPr="00AE2F6E">
        <w:rPr>
          <w:rFonts w:ascii="Times New Roman" w:eastAsia="Times New Roman" w:hAnsi="Times New Roman" w:cs="Times New Roman"/>
          <w:color w:val="000000"/>
          <w:sz w:val="28"/>
          <w:szCs w:val="28"/>
          <w:lang w:val="en-US" w:eastAsia="ru-RU"/>
        </w:rPr>
        <w:t>DI</w:t>
      </w:r>
      <w:r w:rsidRPr="00AE2F6E">
        <w:rPr>
          <w:rFonts w:ascii="Times New Roman" w:eastAsia="Times New Roman" w:hAnsi="Times New Roman" w:cs="Times New Roman"/>
          <w:color w:val="000000"/>
          <w:sz w:val="28"/>
          <w:szCs w:val="28"/>
          <w:lang w:eastAsia="ru-RU"/>
        </w:rPr>
        <w:t>, дискретные устройства вывода </w:t>
      </w:r>
      <w:r w:rsidRPr="00AE2F6E">
        <w:rPr>
          <w:rFonts w:ascii="Times New Roman" w:eastAsia="Times New Roman" w:hAnsi="Times New Roman" w:cs="Times New Roman"/>
          <w:color w:val="000000"/>
          <w:sz w:val="28"/>
          <w:szCs w:val="28"/>
          <w:lang w:val="en-US" w:eastAsia="ru-RU"/>
        </w:rPr>
        <w:t>DO</w:t>
      </w:r>
      <w:r w:rsidRPr="00AE2F6E">
        <w:rPr>
          <w:rFonts w:ascii="Times New Roman" w:eastAsia="Times New Roman" w:hAnsi="Times New Roman" w:cs="Times New Roman"/>
          <w:color w:val="000000"/>
          <w:sz w:val="28"/>
          <w:szCs w:val="28"/>
          <w:lang w:eastAsia="ru-RU"/>
        </w:rPr>
        <w:t>. Устройства аналогового ввода-вывода  предполагают  ввод стандартизированного сигнала по напряжению от 0 до 10В и по току от 4-20мА. Вариант токового сигнала от 4 до 20 мА является предпочтительным, так как имеет простую защиту от короткого замыкания. Сигнал от 4 до 20 МА подключается следующим образом</w:t>
      </w:r>
      <w:r w:rsidRPr="00AE2F6E">
        <w:rPr>
          <w:rFonts w:ascii="Times New Roman" w:eastAsia="Times New Roman" w:hAnsi="Times New Roman" w:cs="Times New Roman"/>
          <w:color w:val="000000"/>
          <w:sz w:val="28"/>
          <w:szCs w:val="28"/>
          <w:lang w:val="kk-KZ" w:eastAsia="ru-RU"/>
        </w:rPr>
        <w:t>:</w:t>
      </w:r>
    </w:p>
    <w:p w:rsidR="001A6221" w:rsidRPr="00AE2F6E" w:rsidRDefault="001A6221" w:rsidP="001A622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lang w:eastAsia="ru-RU"/>
        </w:rPr>
        <w:drawing>
          <wp:inline distT="0" distB="0" distL="0" distR="0">
            <wp:extent cx="5471160" cy="2407920"/>
            <wp:effectExtent l="19050" t="0" r="0" b="0"/>
            <wp:docPr id="1" name="Рисунок 1" descr="сканиров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
                    <pic:cNvPicPr>
                      <a:picLocks noChangeAspect="1" noChangeArrowheads="1"/>
                    </pic:cNvPicPr>
                  </pic:nvPicPr>
                  <pic:blipFill>
                    <a:blip r:embed="rId4"/>
                    <a:srcRect/>
                    <a:stretch>
                      <a:fillRect/>
                    </a:stretch>
                  </pic:blipFill>
                  <pic:spPr bwMode="auto">
                    <a:xfrm>
                      <a:off x="0" y="0"/>
                      <a:ext cx="5471160" cy="2407920"/>
                    </a:xfrm>
                    <a:prstGeom prst="rect">
                      <a:avLst/>
                    </a:prstGeom>
                    <a:noFill/>
                    <a:ln w="9525">
                      <a:noFill/>
                      <a:miter lim="800000"/>
                      <a:headEnd/>
                      <a:tailEnd/>
                    </a:ln>
                  </pic:spPr>
                </pic:pic>
              </a:graphicData>
            </a:graphic>
          </wp:inline>
        </w:drawing>
      </w:r>
    </w:p>
    <w:p w:rsidR="001A6221" w:rsidRPr="00AE2F6E" w:rsidRDefault="001A6221" w:rsidP="001A6221">
      <w:pPr>
        <w:spacing w:before="100" w:beforeAutospacing="1" w:after="100" w:afterAutospacing="1" w:line="240" w:lineRule="auto"/>
        <w:ind w:left="1080"/>
        <w:jc w:val="center"/>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Рисунок 14 - Токовый контур от 4 до 20 мА</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val="en-US"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lastRenderedPageBreak/>
        <w:t xml:space="preserve">Даже при нулевом </w:t>
      </w:r>
      <w:proofErr w:type="spellStart"/>
      <w:r w:rsidRPr="00AE2F6E">
        <w:rPr>
          <w:rFonts w:ascii="Times New Roman" w:eastAsia="Times New Roman" w:hAnsi="Times New Roman" w:cs="Times New Roman"/>
          <w:color w:val="000000"/>
          <w:sz w:val="28"/>
          <w:szCs w:val="28"/>
          <w:lang w:eastAsia="ru-RU"/>
        </w:rPr>
        <w:t>значени</w:t>
      </w:r>
      <w:proofErr w:type="spellEnd"/>
      <w:r w:rsidRPr="00AE2F6E">
        <w:rPr>
          <w:rFonts w:ascii="Times New Roman" w:eastAsia="Times New Roman" w:hAnsi="Times New Roman" w:cs="Times New Roman"/>
          <w:color w:val="000000"/>
          <w:sz w:val="28"/>
          <w:szCs w:val="28"/>
          <w:lang w:val="kk-KZ" w:eastAsia="ru-RU"/>
        </w:rPr>
        <w:t>и</w:t>
      </w:r>
      <w:r w:rsidRPr="00AE2F6E">
        <w:rPr>
          <w:rFonts w:ascii="Times New Roman" w:eastAsia="Times New Roman" w:hAnsi="Times New Roman" w:cs="Times New Roman"/>
          <w:color w:val="000000"/>
          <w:sz w:val="28"/>
          <w:szCs w:val="28"/>
          <w:lang w:eastAsia="ru-RU"/>
        </w:rPr>
        <w:t xml:space="preserve"> физической величины на входной плате СПЛК мы получим  ток  4мА соответствующий 1 В.А, если на вход СПЛК </w:t>
      </w:r>
      <w:proofErr w:type="gramStart"/>
      <w:r w:rsidRPr="00AE2F6E">
        <w:rPr>
          <w:rFonts w:ascii="Times New Roman" w:eastAsia="Times New Roman" w:hAnsi="Times New Roman" w:cs="Times New Roman"/>
          <w:color w:val="000000"/>
          <w:sz w:val="28"/>
          <w:szCs w:val="28"/>
          <w:lang w:eastAsia="ru-RU"/>
        </w:rPr>
        <w:t>воздействовало напряжение  0В  это свидетельствует</w:t>
      </w:r>
      <w:proofErr w:type="gramEnd"/>
      <w:r w:rsidRPr="00AE2F6E">
        <w:rPr>
          <w:rFonts w:ascii="Times New Roman" w:eastAsia="Times New Roman" w:hAnsi="Times New Roman" w:cs="Times New Roman"/>
          <w:color w:val="000000"/>
          <w:sz w:val="28"/>
          <w:szCs w:val="28"/>
          <w:lang w:eastAsia="ru-RU"/>
        </w:rPr>
        <w:t xml:space="preserve"> о неисправности датчика, срабатывает сигнализация на модуле и входе. СПЛК защищены от короткого замыкания, поэтому и на измерение напряжения бывает целесообразно подключение токового контура, вместо схемы подключения по напряжению.</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Другой способ подключения аналогового сигнала двухпроводной преобразователь. Подключение аналогового сигнала по схеме двухпроводного преобразователя представлено на рисунке 15.</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Для аналогового сигнала большое значение имеет разрешающая способность аналого-цифрового преобразователя. Таблица 8 отражает зависимость разрешающей способности от допустимой ошибки.</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Немногие промышленные датчик</w:t>
      </w:r>
      <w:r w:rsidRPr="00AE2F6E">
        <w:rPr>
          <w:rFonts w:ascii="Times New Roman" w:eastAsia="Times New Roman" w:hAnsi="Times New Roman" w:cs="Times New Roman"/>
          <w:color w:val="000000"/>
          <w:sz w:val="28"/>
          <w:szCs w:val="28"/>
          <w:lang w:val="kk-KZ" w:eastAsia="ru-RU"/>
        </w:rPr>
        <w:t>и</w:t>
      </w:r>
      <w:r w:rsidRPr="00AE2F6E">
        <w:rPr>
          <w:rFonts w:ascii="Times New Roman" w:eastAsia="Times New Roman" w:hAnsi="Times New Roman" w:cs="Times New Roman"/>
          <w:color w:val="000000"/>
          <w:sz w:val="28"/>
          <w:szCs w:val="28"/>
          <w:lang w:eastAsia="ru-RU"/>
        </w:rPr>
        <w:t> имеют точность выше 0,5%. Для того чтобы не добавить ошибку измерения АЦП выполняется в 12 разрядах. Таблица указывает на то, что разрядность АЦП  выше 12 неоправданна. В традиционных системах регулирование физические величины – давления, уровня, скорости, напряжения и т.д. Поэтому чаще всего все аналоговые вводы, выводы выполняются  12 разрядов, так как точность не превышает 0,025%. 14 разрядный АЦП есть в разработках, но используется очень редко только для принципиального измерения положения, в задачах точной остановки.</w:t>
      </w:r>
    </w:p>
    <w:p w:rsidR="001A6221" w:rsidRPr="00AE2F6E" w:rsidRDefault="001A6221" w:rsidP="001A6221">
      <w:pPr>
        <w:spacing w:before="100" w:beforeAutospacing="1" w:after="100" w:afterAutospacing="1" w:line="240" w:lineRule="auto"/>
        <w:ind w:firstLine="426"/>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lang w:eastAsia="ru-RU"/>
        </w:rPr>
        <w:drawing>
          <wp:inline distT="0" distB="0" distL="0" distR="0">
            <wp:extent cx="5760720" cy="2148840"/>
            <wp:effectExtent l="19050" t="0" r="0" b="0"/>
            <wp:docPr id="2" name="Рисунок 2" descr="сканиров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
                    <pic:cNvPicPr>
                      <a:picLocks noChangeAspect="1" noChangeArrowheads="1"/>
                    </pic:cNvPicPr>
                  </pic:nvPicPr>
                  <pic:blipFill>
                    <a:blip r:embed="rId5"/>
                    <a:srcRect/>
                    <a:stretch>
                      <a:fillRect/>
                    </a:stretch>
                  </pic:blipFill>
                  <pic:spPr bwMode="auto">
                    <a:xfrm>
                      <a:off x="0" y="0"/>
                      <a:ext cx="5760720" cy="2148840"/>
                    </a:xfrm>
                    <a:prstGeom prst="rect">
                      <a:avLst/>
                    </a:prstGeom>
                    <a:noFill/>
                    <a:ln w="9525">
                      <a:noFill/>
                      <a:miter lim="800000"/>
                      <a:headEnd/>
                      <a:tailEnd/>
                    </a:ln>
                  </pic:spPr>
                </pic:pic>
              </a:graphicData>
            </a:graphic>
          </wp:inline>
        </w:drawing>
      </w:r>
    </w:p>
    <w:p w:rsidR="001A6221" w:rsidRPr="00AE2F6E" w:rsidRDefault="001A6221" w:rsidP="001A6221">
      <w:pPr>
        <w:spacing w:before="100" w:beforeAutospacing="1" w:after="100" w:afterAutospacing="1" w:line="240" w:lineRule="auto"/>
        <w:ind w:firstLine="426"/>
        <w:jc w:val="center"/>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Рисунок 15 - Схема подключения аналогового сигнала как двухпроводного преобразователя от 4 до 20 мА</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xml:space="preserve">Т а б л и </w:t>
      </w:r>
      <w:proofErr w:type="spellStart"/>
      <w:proofErr w:type="gramStart"/>
      <w:r w:rsidRPr="00AE2F6E">
        <w:rPr>
          <w:rFonts w:ascii="Times New Roman" w:eastAsia="Times New Roman" w:hAnsi="Times New Roman" w:cs="Times New Roman"/>
          <w:color w:val="000000"/>
          <w:sz w:val="28"/>
          <w:szCs w:val="28"/>
          <w:lang w:eastAsia="ru-RU"/>
        </w:rPr>
        <w:t>ц</w:t>
      </w:r>
      <w:proofErr w:type="spellEnd"/>
      <w:proofErr w:type="gramEnd"/>
      <w:r w:rsidRPr="00AE2F6E">
        <w:rPr>
          <w:rFonts w:ascii="Times New Roman" w:eastAsia="Times New Roman" w:hAnsi="Times New Roman" w:cs="Times New Roman"/>
          <w:color w:val="000000"/>
          <w:sz w:val="28"/>
          <w:szCs w:val="28"/>
          <w:lang w:eastAsia="ru-RU"/>
        </w:rPr>
        <w:t xml:space="preserve"> а 8</w:t>
      </w:r>
    </w:p>
    <w:p w:rsidR="001A6221" w:rsidRPr="00AE2F6E" w:rsidRDefault="001A6221" w:rsidP="001A6221">
      <w:pPr>
        <w:spacing w:beforeAutospacing="1" w:after="100" w:afterAutospacing="1" w:line="240" w:lineRule="auto"/>
        <w:ind w:left="709"/>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lastRenderedPageBreak/>
        <w:drawing>
          <wp:inline distT="0" distB="0" distL="0" distR="0">
            <wp:extent cx="3870960" cy="15240"/>
            <wp:effectExtent l="19050" t="0" r="0" b="0"/>
            <wp:docPr id="3" name="Рисунок 3" descr="https://libr.aues.kz/facultet/tef/kaf_ik/33/umm/ik_8.files/image0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br.aues.kz/facultet/tef/kaf_ik/33/umm/ik_8.files/image054.gif"/>
                    <pic:cNvPicPr>
                      <a:picLocks noChangeAspect="1" noChangeArrowheads="1"/>
                    </pic:cNvPicPr>
                  </pic:nvPicPr>
                  <pic:blipFill>
                    <a:blip r:embed="rId6"/>
                    <a:srcRect/>
                    <a:stretch>
                      <a:fillRect/>
                    </a:stretch>
                  </pic:blipFill>
                  <pic:spPr bwMode="auto">
                    <a:xfrm>
                      <a:off x="0" y="0"/>
                      <a:ext cx="3870960" cy="1524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00"/>
          <w:sz w:val="28"/>
          <w:szCs w:val="28"/>
          <w:lang w:eastAsia="ru-RU"/>
        </w:rPr>
        <w:drawing>
          <wp:inline distT="0" distB="0" distL="0" distR="0">
            <wp:extent cx="4023360" cy="2346960"/>
            <wp:effectExtent l="19050" t="0" r="0" b="0"/>
            <wp:docPr id="4" name="Рисунок 54" descr="https://libr.aues.kz/facultet/tef/kaf_ik/33/umm/ik_8.files/image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https://libr.aues.kz/facultet/tef/kaf_ik/33/umm/ik_8.files/image055.jpg"/>
                    <pic:cNvPicPr>
                      <a:picLocks noChangeAspect="1" noChangeArrowheads="1"/>
                    </pic:cNvPicPr>
                  </pic:nvPicPr>
                  <pic:blipFill>
                    <a:blip r:embed="rId7"/>
                    <a:srcRect/>
                    <a:stretch>
                      <a:fillRect/>
                    </a:stretch>
                  </pic:blipFill>
                  <pic:spPr bwMode="auto">
                    <a:xfrm>
                      <a:off x="0" y="0"/>
                      <a:ext cx="4023360" cy="2346960"/>
                    </a:xfrm>
                    <a:prstGeom prst="rect">
                      <a:avLst/>
                    </a:prstGeom>
                    <a:noFill/>
                    <a:ln w="9525">
                      <a:noFill/>
                      <a:miter lim="800000"/>
                      <a:headEnd/>
                      <a:tailEnd/>
                    </a:ln>
                  </pic:spPr>
                </pic:pic>
              </a:graphicData>
            </a:graphic>
          </wp:inline>
        </w:drawing>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Аналоговые выходные сигналы  - это сигналы на измерительный прибор, сигналы на аппаратуру регистрации, на исполнительные элементы непрерывного регулятора. Аналоговые непрерывные сигналы управления – это сигналы, поступающие на каналы из области памяти аналоговых выходов,  как это представлено на рисунке 16.</w:t>
      </w:r>
    </w:p>
    <w:p w:rsidR="001A6221" w:rsidRPr="00AE2F6E" w:rsidRDefault="001A6221" w:rsidP="001A6221">
      <w:pPr>
        <w:spacing w:before="100" w:beforeAutospacing="1" w:after="100" w:afterAutospacing="1" w:line="240" w:lineRule="auto"/>
        <w:ind w:left="360"/>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val="en-US" w:eastAsia="ru-RU"/>
        </w:rPr>
        <w:t> </w:t>
      </w:r>
    </w:p>
    <w:p w:rsidR="001A6221" w:rsidRPr="00AE2F6E" w:rsidRDefault="001A6221" w:rsidP="001A6221">
      <w:pPr>
        <w:spacing w:before="100" w:beforeAutospacing="1" w:after="100" w:afterAutospacing="1" w:line="240" w:lineRule="auto"/>
        <w:ind w:left="360"/>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val="en-US" w:eastAsia="ru-RU"/>
        </w:rPr>
        <w:t> </w:t>
      </w:r>
    </w:p>
    <w:p w:rsidR="001A6221" w:rsidRPr="00AE2F6E" w:rsidRDefault="001A6221" w:rsidP="001A6221">
      <w:pPr>
        <w:spacing w:beforeAutospacing="1" w:after="100" w:afterAutospacing="1" w:line="240" w:lineRule="auto"/>
        <w:ind w:left="360"/>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lastRenderedPageBreak/>
        <w:drawing>
          <wp:inline distT="0" distB="0" distL="0" distR="0">
            <wp:extent cx="6736080" cy="2682240"/>
            <wp:effectExtent l="19050" t="0" r="7620" b="0"/>
            <wp:docPr id="5" name="Рисунок 5" descr="https://libr.aues.kz/facultet/tef/kaf_ik/33/umm/ik_8.files/image0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ibr.aues.kz/facultet/tef/kaf_ik/33/umm/ik_8.files/image056.gif"/>
                    <pic:cNvPicPr>
                      <a:picLocks noChangeAspect="1" noChangeArrowheads="1"/>
                    </pic:cNvPicPr>
                  </pic:nvPicPr>
                  <pic:blipFill>
                    <a:blip r:embed="rId8"/>
                    <a:srcRect/>
                    <a:stretch>
                      <a:fillRect/>
                    </a:stretch>
                  </pic:blipFill>
                  <pic:spPr bwMode="auto">
                    <a:xfrm>
                      <a:off x="0" y="0"/>
                      <a:ext cx="6736080" cy="2682240"/>
                    </a:xfrm>
                    <a:prstGeom prst="rect">
                      <a:avLst/>
                    </a:prstGeom>
                    <a:noFill/>
                    <a:ln w="9525">
                      <a:noFill/>
                      <a:miter lim="800000"/>
                      <a:headEnd/>
                      <a:tailEnd/>
                    </a:ln>
                  </pic:spPr>
                </pic:pic>
              </a:graphicData>
            </a:graphic>
          </wp:inline>
        </w:drawing>
      </w:r>
      <w:r>
        <w:rPr>
          <w:rFonts w:ascii="Times New Roman" w:eastAsia="Times New Roman" w:hAnsi="Times New Roman" w:cs="Times New Roman"/>
          <w:b/>
          <w:bCs/>
          <w:noProof/>
          <w:color w:val="000000"/>
          <w:sz w:val="28"/>
          <w:szCs w:val="28"/>
          <w:lang w:eastAsia="ru-RU"/>
        </w:rPr>
        <w:drawing>
          <wp:inline distT="0" distB="0" distL="0" distR="0">
            <wp:extent cx="5013960" cy="2697480"/>
            <wp:effectExtent l="19050" t="0" r="0" b="0"/>
            <wp:docPr id="6" name="Рисунок 6" descr="https://libr.aues.kz/facultet/tef/kaf_ik/33/umm/ik_8.files/image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ibr.aues.kz/facultet/tef/kaf_ik/33/umm/ik_8.files/image057.jpg"/>
                    <pic:cNvPicPr>
                      <a:picLocks noChangeAspect="1" noChangeArrowheads="1"/>
                    </pic:cNvPicPr>
                  </pic:nvPicPr>
                  <pic:blipFill>
                    <a:blip r:embed="rId9"/>
                    <a:srcRect/>
                    <a:stretch>
                      <a:fillRect/>
                    </a:stretch>
                  </pic:blipFill>
                  <pic:spPr bwMode="auto">
                    <a:xfrm>
                      <a:off x="0" y="0"/>
                      <a:ext cx="5013960" cy="2697480"/>
                    </a:xfrm>
                    <a:prstGeom prst="rect">
                      <a:avLst/>
                    </a:prstGeom>
                    <a:noFill/>
                    <a:ln w="9525">
                      <a:noFill/>
                      <a:miter lim="800000"/>
                      <a:headEnd/>
                      <a:tailEnd/>
                    </a:ln>
                  </pic:spPr>
                </pic:pic>
              </a:graphicData>
            </a:graphic>
          </wp:inline>
        </w:drawing>
      </w:r>
    </w:p>
    <w:p w:rsidR="001A6221" w:rsidRPr="00AE2F6E" w:rsidRDefault="001A6221" w:rsidP="001A6221">
      <w:pPr>
        <w:spacing w:before="100" w:beforeAutospacing="1" w:after="100" w:afterAutospacing="1" w:line="240" w:lineRule="auto"/>
        <w:ind w:left="360"/>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t> </w:t>
      </w:r>
    </w:p>
    <w:p w:rsidR="001A6221" w:rsidRPr="00AE2F6E" w:rsidRDefault="001A6221" w:rsidP="001A6221">
      <w:pPr>
        <w:spacing w:before="100" w:beforeAutospacing="1" w:after="100" w:afterAutospacing="1" w:line="240" w:lineRule="auto"/>
        <w:ind w:left="360"/>
        <w:jc w:val="center"/>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xml:space="preserve">Рисунок 16 - Подключение устройств на </w:t>
      </w:r>
      <w:proofErr w:type="gramStart"/>
      <w:r w:rsidRPr="00AE2F6E">
        <w:rPr>
          <w:rFonts w:ascii="Times New Roman" w:eastAsia="Times New Roman" w:hAnsi="Times New Roman" w:cs="Times New Roman"/>
          <w:color w:val="000000"/>
          <w:sz w:val="28"/>
          <w:szCs w:val="28"/>
          <w:lang w:eastAsia="ru-RU"/>
        </w:rPr>
        <w:t>аналоговые</w:t>
      </w:r>
      <w:proofErr w:type="gramEnd"/>
      <w:r w:rsidRPr="00AE2F6E">
        <w:rPr>
          <w:rFonts w:ascii="Times New Roman" w:eastAsia="Times New Roman" w:hAnsi="Times New Roman" w:cs="Times New Roman"/>
          <w:color w:val="000000"/>
          <w:sz w:val="28"/>
          <w:szCs w:val="28"/>
          <w:lang w:eastAsia="ru-RU"/>
        </w:rPr>
        <w:t xml:space="preserve"> выхода</w:t>
      </w:r>
    </w:p>
    <w:p w:rsidR="001A6221" w:rsidRPr="00AE2F6E" w:rsidRDefault="001A6221" w:rsidP="001A6221">
      <w:pPr>
        <w:spacing w:before="100" w:beforeAutospacing="1" w:after="100" w:afterAutospacing="1" w:line="240" w:lineRule="auto"/>
        <w:ind w:left="360"/>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xml:space="preserve">В выходную  область памяти контролера  попадают под  ЦАП,  точность воспроизведения аналогового сигнала на выходе зависит от разрешающей способности ЦАП. Важным моментом преобразования выходного  аналогового сигнала является  выбор частоты квантования. Существует импульсная теорема </w:t>
      </w:r>
      <w:proofErr w:type="spellStart"/>
      <w:r w:rsidRPr="00AE2F6E">
        <w:rPr>
          <w:rFonts w:ascii="Times New Roman" w:eastAsia="Times New Roman" w:hAnsi="Times New Roman" w:cs="Times New Roman"/>
          <w:color w:val="000000"/>
          <w:sz w:val="28"/>
          <w:szCs w:val="28"/>
          <w:lang w:eastAsia="ru-RU"/>
        </w:rPr>
        <w:t>Шенона</w:t>
      </w:r>
      <w:proofErr w:type="spellEnd"/>
      <w:r w:rsidRPr="00AE2F6E">
        <w:rPr>
          <w:rFonts w:ascii="Times New Roman" w:eastAsia="Times New Roman" w:hAnsi="Times New Roman" w:cs="Times New Roman"/>
          <w:color w:val="000000"/>
          <w:sz w:val="28"/>
          <w:szCs w:val="28"/>
          <w:lang w:eastAsia="ru-RU"/>
        </w:rPr>
        <w:t>. Она заключается в следующем, любой непрерывный  сигнал занимает определенную полосу частот, чтобы по выборкам можно было точно восстановить форму исходного сигнала. Частота квантования должна быть  в 2 раза больше полосы частот, занимаемой непрерывным сигналом. Аналоговые сигналы читаются  каждой фирмой производителя СПЛК  по-своему. Фирма </w:t>
      </w:r>
      <w:proofErr w:type="spellStart"/>
      <w:r w:rsidRPr="00AE2F6E">
        <w:rPr>
          <w:rFonts w:ascii="Times New Roman" w:eastAsia="Times New Roman" w:hAnsi="Times New Roman" w:cs="Times New Roman"/>
          <w:color w:val="000000"/>
          <w:sz w:val="28"/>
          <w:szCs w:val="28"/>
          <w:lang w:val="en-US" w:eastAsia="ru-RU"/>
        </w:rPr>
        <w:t>Simens</w:t>
      </w:r>
      <w:proofErr w:type="spellEnd"/>
      <w:r w:rsidRPr="00AE2F6E">
        <w:rPr>
          <w:rFonts w:ascii="Times New Roman" w:eastAsia="Times New Roman" w:hAnsi="Times New Roman" w:cs="Times New Roman"/>
          <w:color w:val="000000"/>
          <w:sz w:val="28"/>
          <w:szCs w:val="28"/>
          <w:lang w:eastAsia="ru-RU"/>
        </w:rPr>
        <w:t xml:space="preserve"> выпускает сигнальные модули, которые подключается к контроллерам или  к станциям ввода </w:t>
      </w:r>
      <w:proofErr w:type="gramStart"/>
      <w:r w:rsidRPr="00AE2F6E">
        <w:rPr>
          <w:rFonts w:ascii="Times New Roman" w:eastAsia="Times New Roman" w:hAnsi="Times New Roman" w:cs="Times New Roman"/>
          <w:color w:val="000000"/>
          <w:sz w:val="28"/>
          <w:szCs w:val="28"/>
          <w:lang w:eastAsia="ru-RU"/>
        </w:rPr>
        <w:t>-в</w:t>
      </w:r>
      <w:proofErr w:type="gramEnd"/>
      <w:r w:rsidRPr="00AE2F6E">
        <w:rPr>
          <w:rFonts w:ascii="Times New Roman" w:eastAsia="Times New Roman" w:hAnsi="Times New Roman" w:cs="Times New Roman"/>
          <w:color w:val="000000"/>
          <w:sz w:val="28"/>
          <w:szCs w:val="28"/>
          <w:lang w:eastAsia="ru-RU"/>
        </w:rPr>
        <w:t>ывода (ЕТ-200) . Например, для контроллеров </w:t>
      </w:r>
      <w:proofErr w:type="spellStart"/>
      <w:r w:rsidRPr="00AE2F6E">
        <w:rPr>
          <w:rFonts w:ascii="Times New Roman" w:eastAsia="Times New Roman" w:hAnsi="Times New Roman" w:cs="Times New Roman"/>
          <w:color w:val="000000"/>
          <w:sz w:val="28"/>
          <w:szCs w:val="28"/>
          <w:lang w:val="en-US" w:eastAsia="ru-RU"/>
        </w:rPr>
        <w:t>Simatic</w:t>
      </w:r>
      <w:proofErr w:type="spellEnd"/>
      <w:r w:rsidRPr="00AE2F6E">
        <w:rPr>
          <w:rFonts w:ascii="Times New Roman" w:eastAsia="Times New Roman" w:hAnsi="Times New Roman" w:cs="Times New Roman"/>
          <w:color w:val="000000"/>
          <w:sz w:val="28"/>
          <w:szCs w:val="28"/>
          <w:lang w:val="en-US" w:eastAsia="ru-RU"/>
        </w:rPr>
        <w:t> </w:t>
      </w:r>
      <w:r w:rsidRPr="00AE2F6E">
        <w:rPr>
          <w:rFonts w:ascii="Times New Roman" w:eastAsia="Times New Roman" w:hAnsi="Times New Roman" w:cs="Times New Roman"/>
          <w:color w:val="000000"/>
          <w:sz w:val="28"/>
          <w:szCs w:val="28"/>
          <w:lang w:eastAsia="ru-RU"/>
        </w:rPr>
        <w:t xml:space="preserve">300, модули </w:t>
      </w:r>
      <w:r w:rsidRPr="00AE2F6E">
        <w:rPr>
          <w:rFonts w:ascii="Times New Roman" w:eastAsia="Times New Roman" w:hAnsi="Times New Roman" w:cs="Times New Roman"/>
          <w:color w:val="000000"/>
          <w:sz w:val="28"/>
          <w:szCs w:val="28"/>
          <w:lang w:eastAsia="ru-RU"/>
        </w:rPr>
        <w:lastRenderedPageBreak/>
        <w:t>аналогового ввода </w:t>
      </w:r>
      <w:r w:rsidRPr="00AE2F6E">
        <w:rPr>
          <w:rFonts w:ascii="Times New Roman" w:eastAsia="Times New Roman" w:hAnsi="Times New Roman" w:cs="Times New Roman"/>
          <w:color w:val="000000"/>
          <w:sz w:val="28"/>
          <w:szCs w:val="28"/>
          <w:lang w:val="en-US" w:eastAsia="ru-RU"/>
        </w:rPr>
        <w:t>SM</w:t>
      </w:r>
      <w:r w:rsidRPr="00AE2F6E">
        <w:rPr>
          <w:rFonts w:ascii="Times New Roman" w:eastAsia="Times New Roman" w:hAnsi="Times New Roman" w:cs="Times New Roman"/>
          <w:color w:val="000000"/>
          <w:sz w:val="28"/>
          <w:szCs w:val="28"/>
          <w:lang w:eastAsia="ru-RU"/>
        </w:rPr>
        <w:t> 331. Каждый модуль использует 2,4,8,16 аналоговых входов. Аналоговые выходные модули </w:t>
      </w:r>
      <w:r w:rsidRPr="00AE2F6E">
        <w:rPr>
          <w:rFonts w:ascii="Times New Roman" w:eastAsia="Times New Roman" w:hAnsi="Times New Roman" w:cs="Times New Roman"/>
          <w:color w:val="000000"/>
          <w:sz w:val="28"/>
          <w:szCs w:val="28"/>
          <w:lang w:val="en-US" w:eastAsia="ru-RU"/>
        </w:rPr>
        <w:t>SM</w:t>
      </w:r>
      <w:r w:rsidRPr="00AE2F6E">
        <w:rPr>
          <w:rFonts w:ascii="Times New Roman" w:eastAsia="Times New Roman" w:hAnsi="Times New Roman" w:cs="Times New Roman"/>
          <w:color w:val="000000"/>
          <w:sz w:val="28"/>
          <w:szCs w:val="28"/>
          <w:lang w:eastAsia="ru-RU"/>
        </w:rPr>
        <w:t>332 и их различные исполнения. Имеются комбинированные модули вводы, выводы </w:t>
      </w:r>
      <w:r w:rsidRPr="00AE2F6E">
        <w:rPr>
          <w:rFonts w:ascii="Times New Roman" w:eastAsia="Times New Roman" w:hAnsi="Times New Roman" w:cs="Times New Roman"/>
          <w:color w:val="000000"/>
          <w:sz w:val="28"/>
          <w:szCs w:val="28"/>
          <w:lang w:val="en-US" w:eastAsia="ru-RU"/>
        </w:rPr>
        <w:t>SM</w:t>
      </w:r>
      <w:r w:rsidRPr="00AE2F6E">
        <w:rPr>
          <w:rFonts w:ascii="Times New Roman" w:eastAsia="Times New Roman" w:hAnsi="Times New Roman" w:cs="Times New Roman"/>
          <w:color w:val="000000"/>
          <w:sz w:val="28"/>
          <w:szCs w:val="28"/>
          <w:lang w:eastAsia="ru-RU"/>
        </w:rPr>
        <w:t>334, </w:t>
      </w:r>
      <w:r w:rsidRPr="00AE2F6E">
        <w:rPr>
          <w:rFonts w:ascii="Times New Roman" w:eastAsia="Times New Roman" w:hAnsi="Times New Roman" w:cs="Times New Roman"/>
          <w:color w:val="000000"/>
          <w:sz w:val="28"/>
          <w:szCs w:val="28"/>
          <w:lang w:val="en-US" w:eastAsia="ru-RU"/>
        </w:rPr>
        <w:t>SM</w:t>
      </w:r>
      <w:r w:rsidRPr="00AE2F6E">
        <w:rPr>
          <w:rFonts w:ascii="Times New Roman" w:eastAsia="Times New Roman" w:hAnsi="Times New Roman" w:cs="Times New Roman"/>
          <w:color w:val="000000"/>
          <w:sz w:val="28"/>
          <w:szCs w:val="28"/>
          <w:lang w:eastAsia="ru-RU"/>
        </w:rPr>
        <w:t>335. Эти модули зачищены по входу от короткого замыкания. На каждый из входов  аналоговых модулей могут  </w:t>
      </w:r>
      <w:proofErr w:type="gramStart"/>
      <w:r w:rsidRPr="00AE2F6E">
        <w:rPr>
          <w:rFonts w:ascii="Times New Roman" w:eastAsia="Times New Roman" w:hAnsi="Times New Roman" w:cs="Times New Roman"/>
          <w:color w:val="000000"/>
          <w:sz w:val="28"/>
          <w:szCs w:val="28"/>
          <w:lang w:eastAsia="ru-RU"/>
        </w:rPr>
        <w:t>подключатся</w:t>
      </w:r>
      <w:proofErr w:type="gramEnd"/>
      <w:r w:rsidRPr="00AE2F6E">
        <w:rPr>
          <w:rFonts w:ascii="Times New Roman" w:eastAsia="Times New Roman" w:hAnsi="Times New Roman" w:cs="Times New Roman"/>
          <w:color w:val="000000"/>
          <w:sz w:val="28"/>
          <w:szCs w:val="28"/>
          <w:lang w:eastAsia="ru-RU"/>
        </w:rPr>
        <w:t xml:space="preserve"> как токовые, так и </w:t>
      </w:r>
      <w:proofErr w:type="spellStart"/>
      <w:r w:rsidRPr="00AE2F6E">
        <w:rPr>
          <w:rFonts w:ascii="Times New Roman" w:eastAsia="Times New Roman" w:hAnsi="Times New Roman" w:cs="Times New Roman"/>
          <w:color w:val="000000"/>
          <w:sz w:val="28"/>
          <w:szCs w:val="28"/>
          <w:lang w:eastAsia="ru-RU"/>
        </w:rPr>
        <w:t>напряженческие</w:t>
      </w:r>
      <w:proofErr w:type="spellEnd"/>
      <w:r w:rsidRPr="00AE2F6E">
        <w:rPr>
          <w:rFonts w:ascii="Times New Roman" w:eastAsia="Times New Roman" w:hAnsi="Times New Roman" w:cs="Times New Roman"/>
          <w:color w:val="000000"/>
          <w:sz w:val="28"/>
          <w:szCs w:val="28"/>
          <w:lang w:eastAsia="ru-RU"/>
        </w:rPr>
        <w:t xml:space="preserve"> сигналы. Применение сигнальных модулей позволяет адаптировать контролер к требованиям решаемой задачи.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t>10.2 Цифровые выходы и входы</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Цифровые выходы и входы в отличие от дискретных тем, что предназначены для  чтения  и отображения  цифрового значения  в двоично-десятичном коде.  В цифровом виде отображаются данные с цифровых датчиков времени, положения, температуры и других. Данные с цифровых устрой</w:t>
      </w:r>
      <w:proofErr w:type="gramStart"/>
      <w:r w:rsidRPr="00AE2F6E">
        <w:rPr>
          <w:rFonts w:ascii="Times New Roman" w:eastAsia="Times New Roman" w:hAnsi="Times New Roman" w:cs="Times New Roman"/>
          <w:color w:val="000000"/>
          <w:sz w:val="28"/>
          <w:szCs w:val="28"/>
          <w:lang w:eastAsia="ru-RU"/>
        </w:rPr>
        <w:t>ств хр</w:t>
      </w:r>
      <w:proofErr w:type="gramEnd"/>
      <w:r w:rsidRPr="00AE2F6E">
        <w:rPr>
          <w:rFonts w:ascii="Times New Roman" w:eastAsia="Times New Roman" w:hAnsi="Times New Roman" w:cs="Times New Roman"/>
          <w:color w:val="000000"/>
          <w:sz w:val="28"/>
          <w:szCs w:val="28"/>
          <w:lang w:eastAsia="ru-RU"/>
        </w:rPr>
        <w:t>анятся в памяти СПЛК. Для четырехразрядного индикатора (способного отражать от 0000 до 9999) будут необходимы 16 выходных</w:t>
      </w:r>
      <w:proofErr w:type="gramStart"/>
      <w:r w:rsidRPr="00AE2F6E">
        <w:rPr>
          <w:rFonts w:ascii="Times New Roman" w:eastAsia="Times New Roman" w:hAnsi="Times New Roman" w:cs="Times New Roman"/>
          <w:color w:val="000000"/>
          <w:sz w:val="28"/>
          <w:szCs w:val="28"/>
          <w:lang w:eastAsia="ru-RU"/>
        </w:rPr>
        <w:t> </w:t>
      </w:r>
      <w:r w:rsidRPr="00AE2F6E">
        <w:rPr>
          <w:rFonts w:ascii="Times New Roman" w:eastAsia="Times New Roman" w:hAnsi="Times New Roman" w:cs="Times New Roman"/>
          <w:color w:val="000000"/>
          <w:sz w:val="28"/>
          <w:szCs w:val="28"/>
          <w:lang w:val="kk-KZ" w:eastAsia="ru-RU"/>
        </w:rPr>
        <w:t>.</w:t>
      </w:r>
      <w:proofErr w:type="gramEnd"/>
    </w:p>
    <w:p w:rsidR="001A6221" w:rsidRPr="00AE2F6E" w:rsidRDefault="001A6221" w:rsidP="001A6221">
      <w:pPr>
        <w:spacing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lastRenderedPageBreak/>
        <w:drawing>
          <wp:inline distT="0" distB="0" distL="0" distR="0">
            <wp:extent cx="5471160" cy="4373880"/>
            <wp:effectExtent l="19050" t="0" r="0" b="0"/>
            <wp:docPr id="7" name="Рисунок 7" descr="https://libr.aues.kz/facultet/tef/kaf_ik/33/umm/ik_8.files/image0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ibr.aues.kz/facultet/tef/kaf_ik/33/umm/ik_8.files/image058.gif"/>
                    <pic:cNvPicPr>
                      <a:picLocks noChangeAspect="1" noChangeArrowheads="1"/>
                    </pic:cNvPicPr>
                  </pic:nvPicPr>
                  <pic:blipFill>
                    <a:blip r:embed="rId10"/>
                    <a:srcRect/>
                    <a:stretch>
                      <a:fillRect/>
                    </a:stretch>
                  </pic:blipFill>
                  <pic:spPr bwMode="auto">
                    <a:xfrm>
                      <a:off x="0" y="0"/>
                      <a:ext cx="5471160" cy="43738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00"/>
          <w:sz w:val="28"/>
          <w:szCs w:val="28"/>
          <w:lang w:eastAsia="ru-RU"/>
        </w:rPr>
        <w:drawing>
          <wp:inline distT="0" distB="0" distL="0" distR="0">
            <wp:extent cx="5455920" cy="2712720"/>
            <wp:effectExtent l="19050" t="0" r="0" b="0"/>
            <wp:docPr id="8" name="Picture 43" descr="https://libr.aues.kz/facultet/tef/kaf_ik/33/umm/ik_8.files/image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libr.aues.kz/facultet/tef/kaf_ik/33/umm/ik_8.files/image059.jpg"/>
                    <pic:cNvPicPr>
                      <a:picLocks noChangeAspect="1" noChangeArrowheads="1"/>
                    </pic:cNvPicPr>
                  </pic:nvPicPr>
                  <pic:blipFill>
                    <a:blip r:embed="rId11"/>
                    <a:srcRect/>
                    <a:stretch>
                      <a:fillRect/>
                    </a:stretch>
                  </pic:blipFill>
                  <pic:spPr bwMode="auto">
                    <a:xfrm>
                      <a:off x="0" y="0"/>
                      <a:ext cx="5455920" cy="2712720"/>
                    </a:xfrm>
                    <a:prstGeom prst="rect">
                      <a:avLst/>
                    </a:prstGeom>
                    <a:noFill/>
                    <a:ln w="9525">
                      <a:noFill/>
                      <a:miter lim="800000"/>
                      <a:headEnd/>
                      <a:tailEnd/>
                    </a:ln>
                  </pic:spPr>
                </pic:pic>
              </a:graphicData>
            </a:graphic>
          </wp:inline>
        </w:drawing>
      </w:r>
    </w:p>
    <w:p w:rsidR="001A6221" w:rsidRPr="00AE2F6E" w:rsidRDefault="001A6221" w:rsidP="001A6221">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lang w:eastAsia="ru-RU"/>
        </w:rPr>
        <w:lastRenderedPageBreak/>
        <w:drawing>
          <wp:inline distT="0" distB="0" distL="0" distR="0">
            <wp:extent cx="5013960" cy="4130040"/>
            <wp:effectExtent l="19050" t="0" r="0" b="0"/>
            <wp:docPr id="9" name="Рисунок 36" descr="https://libr.aues.kz/facultet/tef/kaf_ik/33/umm/ik_8.files/image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https://libr.aues.kz/facultet/tef/kaf_ik/33/umm/ik_8.files/image060.jpg"/>
                    <pic:cNvPicPr>
                      <a:picLocks noChangeAspect="1" noChangeArrowheads="1"/>
                    </pic:cNvPicPr>
                  </pic:nvPicPr>
                  <pic:blipFill>
                    <a:blip r:embed="rId12"/>
                    <a:srcRect/>
                    <a:stretch>
                      <a:fillRect/>
                    </a:stretch>
                  </pic:blipFill>
                  <pic:spPr bwMode="auto">
                    <a:xfrm>
                      <a:off x="0" y="0"/>
                      <a:ext cx="5013960" cy="4130040"/>
                    </a:xfrm>
                    <a:prstGeom prst="rect">
                      <a:avLst/>
                    </a:prstGeom>
                    <a:noFill/>
                    <a:ln w="9525">
                      <a:noFill/>
                      <a:miter lim="800000"/>
                      <a:headEnd/>
                      <a:tailEnd/>
                    </a:ln>
                  </pic:spPr>
                </pic:pic>
              </a:graphicData>
            </a:graphic>
          </wp:inline>
        </w:drawing>
      </w:r>
    </w:p>
    <w:p w:rsidR="001A6221" w:rsidRPr="00AE2F6E" w:rsidRDefault="001A6221" w:rsidP="001A6221">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Рисунок 17 - Цифровые индикаторы (а) физическое соединение; (б) принцип действия</w:t>
      </w:r>
    </w:p>
    <w:p w:rsidR="001A6221" w:rsidRPr="00AE2F6E" w:rsidRDefault="001A6221" w:rsidP="001A6221">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сигналов от дискретных выходов СПЛК, обычно они напряжением 12 или 24 В. На рисунке 17 показано как читаются 16 бит информации, а также как они выводятся на четырехразрядный индикатор посредством мультиплексора.</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xml:space="preserve">Мультиплексирование [1] заключается в том, что вместо того чтобы на каждую выходную информацию  формировать 16 битов управления, формируется  отдельная 16-битная информация со </w:t>
      </w:r>
      <w:proofErr w:type="spellStart"/>
      <w:proofErr w:type="gramStart"/>
      <w:r w:rsidRPr="00AE2F6E">
        <w:rPr>
          <w:rFonts w:ascii="Times New Roman" w:eastAsia="Times New Roman" w:hAnsi="Times New Roman" w:cs="Times New Roman"/>
          <w:color w:val="000000"/>
          <w:sz w:val="28"/>
          <w:szCs w:val="28"/>
          <w:lang w:eastAsia="ru-RU"/>
        </w:rPr>
        <w:t>строб-импульсами</w:t>
      </w:r>
      <w:proofErr w:type="spellEnd"/>
      <w:proofErr w:type="gramEnd"/>
      <w:r w:rsidRPr="00AE2F6E">
        <w:rPr>
          <w:rFonts w:ascii="Times New Roman" w:eastAsia="Times New Roman" w:hAnsi="Times New Roman" w:cs="Times New Roman"/>
          <w:color w:val="000000"/>
          <w:sz w:val="28"/>
          <w:szCs w:val="28"/>
          <w:lang w:eastAsia="ru-RU"/>
        </w:rPr>
        <w:t xml:space="preserve"> выбора номера канала вывода.</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Фирмой </w:t>
      </w:r>
      <w:r w:rsidRPr="00AE2F6E">
        <w:rPr>
          <w:rFonts w:ascii="Times New Roman" w:eastAsia="Times New Roman" w:hAnsi="Times New Roman" w:cs="Times New Roman"/>
          <w:color w:val="000000"/>
          <w:sz w:val="28"/>
          <w:szCs w:val="28"/>
          <w:lang w:val="en-US" w:eastAsia="ru-RU"/>
        </w:rPr>
        <w:t>Si</w:t>
      </w:r>
      <w:proofErr w:type="gramStart"/>
      <w:r w:rsidRPr="00AE2F6E">
        <w:rPr>
          <w:rFonts w:ascii="Times New Roman" w:eastAsia="Times New Roman" w:hAnsi="Times New Roman" w:cs="Times New Roman"/>
          <w:color w:val="000000"/>
          <w:sz w:val="28"/>
          <w:szCs w:val="28"/>
          <w:lang w:eastAsia="ru-RU"/>
        </w:rPr>
        <w:t>е</w:t>
      </w:r>
      <w:proofErr w:type="spellStart"/>
      <w:proofErr w:type="gramEnd"/>
      <w:r w:rsidRPr="00AE2F6E">
        <w:rPr>
          <w:rFonts w:ascii="Times New Roman" w:eastAsia="Times New Roman" w:hAnsi="Times New Roman" w:cs="Times New Roman"/>
          <w:color w:val="000000"/>
          <w:sz w:val="28"/>
          <w:szCs w:val="28"/>
          <w:lang w:val="en-US" w:eastAsia="ru-RU"/>
        </w:rPr>
        <w:t>mens</w:t>
      </w:r>
      <w:proofErr w:type="spellEnd"/>
      <w:r w:rsidRPr="00AE2F6E">
        <w:rPr>
          <w:rFonts w:ascii="Times New Roman" w:eastAsia="Times New Roman" w:hAnsi="Times New Roman" w:cs="Times New Roman"/>
          <w:color w:val="000000"/>
          <w:sz w:val="28"/>
          <w:szCs w:val="28"/>
          <w:lang w:eastAsia="ru-RU"/>
        </w:rPr>
        <w:t> выпускаются дискретные модули ввода </w:t>
      </w:r>
      <w:r w:rsidRPr="00AE2F6E">
        <w:rPr>
          <w:rFonts w:ascii="Times New Roman" w:eastAsia="Times New Roman" w:hAnsi="Times New Roman" w:cs="Times New Roman"/>
          <w:color w:val="000000"/>
          <w:sz w:val="28"/>
          <w:szCs w:val="28"/>
          <w:lang w:val="en-US" w:eastAsia="ru-RU"/>
        </w:rPr>
        <w:t>SM</w:t>
      </w:r>
      <w:r w:rsidRPr="00AE2F6E">
        <w:rPr>
          <w:rFonts w:ascii="Times New Roman" w:eastAsia="Times New Roman" w:hAnsi="Times New Roman" w:cs="Times New Roman"/>
          <w:color w:val="000000"/>
          <w:sz w:val="28"/>
          <w:szCs w:val="28"/>
          <w:lang w:eastAsia="ru-RU"/>
        </w:rPr>
        <w:t>-321, разновидности модулей на 8,16,32,64,128 входов, а также модули  дискретного  вывода  </w:t>
      </w:r>
      <w:r w:rsidRPr="00AE2F6E">
        <w:rPr>
          <w:rFonts w:ascii="Times New Roman" w:eastAsia="Times New Roman" w:hAnsi="Times New Roman" w:cs="Times New Roman"/>
          <w:color w:val="000000"/>
          <w:sz w:val="28"/>
          <w:szCs w:val="28"/>
          <w:lang w:val="en-US" w:eastAsia="ru-RU"/>
        </w:rPr>
        <w:t>SM</w:t>
      </w:r>
      <w:r w:rsidRPr="00AE2F6E">
        <w:rPr>
          <w:rFonts w:ascii="Times New Roman" w:eastAsia="Times New Roman" w:hAnsi="Times New Roman" w:cs="Times New Roman"/>
          <w:color w:val="000000"/>
          <w:sz w:val="28"/>
          <w:szCs w:val="28"/>
          <w:lang w:eastAsia="ru-RU"/>
        </w:rPr>
        <w:t>-322 и модули дискретного ввода-вывода SM 323 и SM 327.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lastRenderedPageBreak/>
        <w:t>10.3 Другие модули СПЛК</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В числе других модулей СПЛК отметим </w:t>
      </w:r>
      <w:r w:rsidRPr="00AE2F6E">
        <w:rPr>
          <w:rFonts w:ascii="Times New Roman" w:eastAsia="Times New Roman" w:hAnsi="Times New Roman" w:cs="Times New Roman"/>
          <w:i/>
          <w:iCs/>
          <w:color w:val="000000"/>
          <w:sz w:val="28"/>
          <w:szCs w:val="28"/>
          <w:lang w:eastAsia="ru-RU"/>
        </w:rPr>
        <w:t>функциональные</w:t>
      </w:r>
      <w:r w:rsidRPr="00AE2F6E">
        <w:rPr>
          <w:rFonts w:ascii="Times New Roman" w:eastAsia="Times New Roman" w:hAnsi="Times New Roman" w:cs="Times New Roman"/>
          <w:color w:val="000000"/>
          <w:sz w:val="28"/>
          <w:szCs w:val="28"/>
          <w:lang w:eastAsia="ru-RU"/>
        </w:rPr>
        <w:t> модули. Функциональные модули позволяют разгрузить  центральный процессор от выполнения ресурсных задач, к которым можно отнести задачи скоростного счета позиционирования автоматического регулирования и другие.</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Разновидности функциональных модулей</w:t>
      </w:r>
      <w:r w:rsidRPr="00AE2F6E">
        <w:rPr>
          <w:rFonts w:ascii="Times New Roman" w:eastAsia="Times New Roman" w:hAnsi="Times New Roman" w:cs="Times New Roman"/>
          <w:b/>
          <w:bCs/>
          <w:color w:val="000000"/>
          <w:sz w:val="28"/>
          <w:szCs w:val="28"/>
          <w:lang w:eastAsia="ru-RU"/>
        </w:rPr>
        <w:t>: </w:t>
      </w:r>
      <w:r w:rsidRPr="00AE2F6E">
        <w:rPr>
          <w:rFonts w:ascii="Times New Roman" w:eastAsia="Times New Roman" w:hAnsi="Times New Roman" w:cs="Times New Roman"/>
          <w:color w:val="000000"/>
          <w:sz w:val="28"/>
          <w:szCs w:val="28"/>
          <w:lang w:eastAsia="ru-RU"/>
        </w:rPr>
        <w:t xml:space="preserve">модули скоростного счета, модули позиционирования с ускоренной подачей рабочего органа, модули позиционирования шаговых двигателей, модули позиционирования серводвигателей, модули позиционирования и управления перемещением, модули обслуживания ультразвуковых датчиков положения, модули обслуживания синхронно-последовательных (SSI) датчиков абсолютного перемещения, модули электронных </w:t>
      </w:r>
      <w:proofErr w:type="spellStart"/>
      <w:r w:rsidRPr="00AE2F6E">
        <w:rPr>
          <w:rFonts w:ascii="Times New Roman" w:eastAsia="Times New Roman" w:hAnsi="Times New Roman" w:cs="Times New Roman"/>
          <w:color w:val="000000"/>
          <w:sz w:val="28"/>
          <w:szCs w:val="28"/>
          <w:lang w:eastAsia="ru-RU"/>
        </w:rPr>
        <w:t>командоконтроллеров</w:t>
      </w:r>
      <w:proofErr w:type="spellEnd"/>
      <w:r w:rsidRPr="00AE2F6E">
        <w:rPr>
          <w:rFonts w:ascii="Times New Roman" w:eastAsia="Times New Roman" w:hAnsi="Times New Roman" w:cs="Times New Roman"/>
          <w:color w:val="000000"/>
          <w:sz w:val="28"/>
          <w:szCs w:val="28"/>
          <w:lang w:eastAsia="ru-RU"/>
        </w:rPr>
        <w:t>, модули для систем числового программного управления, модули автоматического регулирования.</w:t>
      </w:r>
      <w:r w:rsidRPr="00AE2F6E">
        <w:rPr>
          <w:rFonts w:ascii="Times New Roman" w:eastAsia="Times New Roman" w:hAnsi="Times New Roman" w:cs="Times New Roman"/>
          <w:b/>
          <w:bCs/>
          <w:color w:val="000000"/>
          <w:sz w:val="28"/>
          <w:szCs w:val="28"/>
          <w:lang w:eastAsia="ru-RU"/>
        </w:rPr>
        <w:t> </w:t>
      </w:r>
      <w:r w:rsidRPr="00AE2F6E">
        <w:rPr>
          <w:rFonts w:ascii="Times New Roman" w:eastAsia="Times New Roman" w:hAnsi="Times New Roman" w:cs="Times New Roman"/>
          <w:color w:val="000000"/>
          <w:sz w:val="28"/>
          <w:szCs w:val="28"/>
          <w:lang w:eastAsia="ru-RU"/>
        </w:rPr>
        <w:t>В настоящее время   в качестве  функциональных модулей выпускаются сопроцессорные контроллеры.</w:t>
      </w:r>
    </w:p>
    <w:p w:rsidR="001A6221" w:rsidRPr="00AE2F6E" w:rsidRDefault="001A6221" w:rsidP="001A6221">
      <w:pPr>
        <w:spacing w:before="100" w:beforeAutospacing="1" w:line="442" w:lineRule="atLeast"/>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Модули </w:t>
      </w:r>
      <w:r w:rsidRPr="00AE2F6E">
        <w:rPr>
          <w:rFonts w:ascii="Times New Roman" w:eastAsia="Times New Roman" w:hAnsi="Times New Roman" w:cs="Times New Roman"/>
          <w:i/>
          <w:iCs/>
          <w:color w:val="000000"/>
          <w:sz w:val="28"/>
          <w:szCs w:val="28"/>
          <w:lang w:eastAsia="ru-RU"/>
        </w:rPr>
        <w:t>специального</w:t>
      </w:r>
      <w:r w:rsidRPr="00AE2F6E">
        <w:rPr>
          <w:rFonts w:ascii="Times New Roman" w:eastAsia="Times New Roman" w:hAnsi="Times New Roman" w:cs="Times New Roman"/>
          <w:color w:val="000000"/>
          <w:sz w:val="28"/>
          <w:szCs w:val="28"/>
          <w:lang w:eastAsia="ru-RU"/>
        </w:rPr>
        <w:t> </w:t>
      </w:r>
      <w:r w:rsidRPr="00AE2F6E">
        <w:rPr>
          <w:rFonts w:ascii="Times New Roman" w:eastAsia="Times New Roman" w:hAnsi="Times New Roman" w:cs="Times New Roman"/>
          <w:i/>
          <w:iCs/>
          <w:color w:val="000000"/>
          <w:sz w:val="28"/>
          <w:szCs w:val="28"/>
          <w:lang w:eastAsia="ru-RU"/>
        </w:rPr>
        <w:t>назначения</w:t>
      </w:r>
      <w:r w:rsidRPr="00AE2F6E">
        <w:rPr>
          <w:rFonts w:ascii="Times New Roman" w:eastAsia="Times New Roman" w:hAnsi="Times New Roman" w:cs="Times New Roman"/>
          <w:color w:val="000000"/>
          <w:sz w:val="28"/>
          <w:szCs w:val="28"/>
          <w:lang w:eastAsia="ru-RU"/>
        </w:rPr>
        <w:t> включают в свой состав: модуль SM 374 для имитации входных дискретных сигналов и отображения значений выходных дискретных сигналов и ложный модуль DM 370 для резервирования мест с последующей установкой модулей различного назначения.</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proofErr w:type="gramStart"/>
      <w:r w:rsidRPr="00AE2F6E">
        <w:rPr>
          <w:rFonts w:ascii="Times New Roman" w:eastAsia="Times New Roman" w:hAnsi="Times New Roman" w:cs="Times New Roman"/>
          <w:i/>
          <w:iCs/>
          <w:color w:val="000000"/>
          <w:sz w:val="28"/>
          <w:szCs w:val="28"/>
          <w:lang w:eastAsia="ru-RU"/>
        </w:rPr>
        <w:t>Коммуникационные модули</w:t>
      </w:r>
      <w:r w:rsidRPr="00AE2F6E">
        <w:rPr>
          <w:rFonts w:ascii="Times New Roman" w:eastAsia="Times New Roman" w:hAnsi="Times New Roman" w:cs="Times New Roman"/>
          <w:color w:val="000000"/>
          <w:sz w:val="28"/>
          <w:szCs w:val="28"/>
          <w:lang w:eastAsia="ru-RU"/>
        </w:rPr>
        <w:t xml:space="preserve"> включают в свой состав: коммуникационные процессоры для организации связи через </w:t>
      </w:r>
      <w:proofErr w:type="spellStart"/>
      <w:r w:rsidRPr="00AE2F6E">
        <w:rPr>
          <w:rFonts w:ascii="Times New Roman" w:eastAsia="Times New Roman" w:hAnsi="Times New Roman" w:cs="Times New Roman"/>
          <w:color w:val="000000"/>
          <w:sz w:val="28"/>
          <w:szCs w:val="28"/>
          <w:lang w:eastAsia="ru-RU"/>
        </w:rPr>
        <w:t>PtP</w:t>
      </w:r>
      <w:proofErr w:type="spellEnd"/>
      <w:r w:rsidRPr="00AE2F6E">
        <w:rPr>
          <w:rFonts w:ascii="Times New Roman" w:eastAsia="Times New Roman" w:hAnsi="Times New Roman" w:cs="Times New Roman"/>
          <w:color w:val="000000"/>
          <w:sz w:val="28"/>
          <w:szCs w:val="28"/>
          <w:lang w:eastAsia="ru-RU"/>
        </w:rPr>
        <w:t xml:space="preserve"> интерфейс; коммуникационные процессоры для обслуживания систем распределенного ввода-вывода на основе </w:t>
      </w:r>
      <w:proofErr w:type="spellStart"/>
      <w:r w:rsidRPr="00AE2F6E">
        <w:rPr>
          <w:rFonts w:ascii="Times New Roman" w:eastAsia="Times New Roman" w:hAnsi="Times New Roman" w:cs="Times New Roman"/>
          <w:color w:val="000000"/>
          <w:sz w:val="28"/>
          <w:szCs w:val="28"/>
          <w:lang w:eastAsia="ru-RU"/>
        </w:rPr>
        <w:t>AS-Interface</w:t>
      </w:r>
      <w:proofErr w:type="spellEnd"/>
      <w:r w:rsidRPr="00AE2F6E">
        <w:rPr>
          <w:rFonts w:ascii="Times New Roman" w:eastAsia="Times New Roman" w:hAnsi="Times New Roman" w:cs="Times New Roman"/>
          <w:color w:val="000000"/>
          <w:sz w:val="28"/>
          <w:szCs w:val="28"/>
          <w:lang w:eastAsia="ru-RU"/>
        </w:rPr>
        <w:t xml:space="preserve">; коммуникационные процессоры для обслуживания систем распределенного ввода-вывода на основе PROFIBUS DP и PROFINET IO;  коммуникационные процессоры для организации связи через PROFIBUS FMS; коммуникационные процессоры для организации связи через </w:t>
      </w:r>
      <w:proofErr w:type="spellStart"/>
      <w:r w:rsidRPr="00AE2F6E">
        <w:rPr>
          <w:rFonts w:ascii="Times New Roman" w:eastAsia="Times New Roman" w:hAnsi="Times New Roman" w:cs="Times New Roman"/>
          <w:color w:val="000000"/>
          <w:sz w:val="28"/>
          <w:szCs w:val="28"/>
          <w:lang w:eastAsia="ru-RU"/>
        </w:rPr>
        <w:t>Industrial</w:t>
      </w:r>
      <w:proofErr w:type="spellEnd"/>
      <w:r w:rsidRPr="00AE2F6E">
        <w:rPr>
          <w:rFonts w:ascii="Times New Roman" w:eastAsia="Times New Roman" w:hAnsi="Times New Roman" w:cs="Times New Roman"/>
          <w:color w:val="000000"/>
          <w:sz w:val="28"/>
          <w:szCs w:val="28"/>
          <w:lang w:eastAsia="ru-RU"/>
        </w:rPr>
        <w:t xml:space="preserve"> </w:t>
      </w:r>
      <w:proofErr w:type="spellStart"/>
      <w:r w:rsidRPr="00AE2F6E">
        <w:rPr>
          <w:rFonts w:ascii="Times New Roman" w:eastAsia="Times New Roman" w:hAnsi="Times New Roman" w:cs="Times New Roman"/>
          <w:color w:val="000000"/>
          <w:sz w:val="28"/>
          <w:szCs w:val="28"/>
          <w:lang w:eastAsia="ru-RU"/>
        </w:rPr>
        <w:t>Ethernet</w:t>
      </w:r>
      <w:proofErr w:type="spellEnd"/>
      <w:r w:rsidRPr="00AE2F6E">
        <w:rPr>
          <w:rFonts w:ascii="Times New Roman" w:eastAsia="Times New Roman" w:hAnsi="Times New Roman" w:cs="Times New Roman"/>
          <w:color w:val="000000"/>
          <w:sz w:val="28"/>
          <w:szCs w:val="28"/>
          <w:lang w:eastAsia="ru-RU"/>
        </w:rPr>
        <w:t>.</w:t>
      </w:r>
      <w:proofErr w:type="gramEnd"/>
    </w:p>
    <w:p w:rsidR="001A6221" w:rsidRPr="00AE2F6E" w:rsidRDefault="001A6221" w:rsidP="001A6221">
      <w:pPr>
        <w:spacing w:before="100" w:before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i/>
          <w:iCs/>
          <w:color w:val="000000"/>
          <w:sz w:val="28"/>
          <w:szCs w:val="28"/>
          <w:lang w:eastAsia="ru-RU"/>
        </w:rPr>
        <w:t>Интерфейсные модули</w:t>
      </w:r>
      <w:r w:rsidRPr="00AE2F6E">
        <w:rPr>
          <w:rFonts w:ascii="Times New Roman" w:eastAsia="Times New Roman" w:hAnsi="Times New Roman" w:cs="Times New Roman"/>
          <w:color w:val="000000"/>
          <w:sz w:val="28"/>
          <w:szCs w:val="28"/>
          <w:lang w:eastAsia="ru-RU"/>
        </w:rPr>
        <w:t> используются для построения многорядных конфигураций контроллера, включающих в свой состав один базовый блок (CR) и до трех стоек расширения (ER). Соединения между стойками выполняются с помощью интерфейсных модулей: IM 365 для подключения к базовому блоку одной стойки расширения  и IM 360/IM 361 для подключения к базовому блоку до 3 стоек расширения</w:t>
      </w:r>
      <w:r w:rsidRPr="00AE2F6E">
        <w:rPr>
          <w:rFonts w:ascii="Times New Roman" w:eastAsia="Times New Roman" w:hAnsi="Times New Roman" w:cs="Times New Roman"/>
          <w:color w:val="000000"/>
          <w:sz w:val="28"/>
          <w:szCs w:val="28"/>
          <w:lang w:val="kk-KZ" w:eastAsia="ru-RU"/>
        </w:rPr>
        <w:t>.</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b/>
          <w:bCs/>
          <w:color w:val="000000"/>
          <w:sz w:val="28"/>
          <w:szCs w:val="28"/>
          <w:lang w:eastAsia="ru-RU"/>
        </w:rPr>
        <w:lastRenderedPageBreak/>
        <w:t xml:space="preserve">10.4 Модули распределенных систем фирмы </w:t>
      </w:r>
      <w:proofErr w:type="spellStart"/>
      <w:r w:rsidRPr="00AE2F6E">
        <w:rPr>
          <w:rFonts w:ascii="Times New Roman" w:eastAsia="Times New Roman" w:hAnsi="Times New Roman" w:cs="Times New Roman"/>
          <w:b/>
          <w:bCs/>
          <w:color w:val="000000"/>
          <w:sz w:val="28"/>
          <w:szCs w:val="28"/>
          <w:lang w:eastAsia="ru-RU"/>
        </w:rPr>
        <w:t>Siemens</w:t>
      </w:r>
      <w:proofErr w:type="spellEnd"/>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xml:space="preserve">Безусловно перечисленные выше модули СПЛК являются лишь некоторыми из всех модулей распределенных систем.  Далее приведем другие устройства распределенных систем фирмы </w:t>
      </w:r>
      <w:proofErr w:type="spellStart"/>
      <w:r w:rsidRPr="00AE2F6E">
        <w:rPr>
          <w:rFonts w:ascii="Times New Roman" w:eastAsia="Times New Roman" w:hAnsi="Times New Roman" w:cs="Times New Roman"/>
          <w:color w:val="000000"/>
          <w:sz w:val="28"/>
          <w:szCs w:val="28"/>
          <w:lang w:eastAsia="ru-RU"/>
        </w:rPr>
        <w:t>Siemens</w:t>
      </w:r>
      <w:proofErr w:type="spellEnd"/>
      <w:r w:rsidRPr="00AE2F6E">
        <w:rPr>
          <w:rFonts w:ascii="Times New Roman" w:eastAsia="Times New Roman" w:hAnsi="Times New Roman" w:cs="Times New Roman"/>
          <w:color w:val="000000"/>
          <w:sz w:val="28"/>
          <w:szCs w:val="28"/>
          <w:lang w:eastAsia="ru-RU"/>
        </w:rPr>
        <w:t>.</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xml:space="preserve"> Наиболее мощным контроллером фирмы </w:t>
      </w:r>
      <w:proofErr w:type="spellStart"/>
      <w:r w:rsidRPr="00AE2F6E">
        <w:rPr>
          <w:rFonts w:ascii="Times New Roman" w:eastAsia="Times New Roman" w:hAnsi="Times New Roman" w:cs="Times New Roman"/>
          <w:color w:val="000000"/>
          <w:sz w:val="28"/>
          <w:szCs w:val="28"/>
          <w:lang w:eastAsia="ru-RU"/>
        </w:rPr>
        <w:t>Siemens</w:t>
      </w:r>
      <w:proofErr w:type="spellEnd"/>
      <w:r w:rsidRPr="00AE2F6E">
        <w:rPr>
          <w:rFonts w:ascii="Times New Roman" w:eastAsia="Times New Roman" w:hAnsi="Times New Roman" w:cs="Times New Roman"/>
          <w:color w:val="000000"/>
          <w:sz w:val="28"/>
          <w:szCs w:val="28"/>
          <w:lang w:eastAsia="ru-RU"/>
        </w:rPr>
        <w:t xml:space="preserve"> является контроллеры серии S7-400. Последние разработки этих контроллеров имеет три исполнения. Все они предназначены для решения задач автоматизации средней и высокой сложности. Эти контроллеры имеют  различные степени защиты в программных условиях, поддерживают горячее резервирование и обладают высокой степенью надежности. Имеются три степени исполнения: S7-400, S7-400H, S7-400</w:t>
      </w:r>
      <w:r w:rsidRPr="00AE2F6E">
        <w:rPr>
          <w:rFonts w:ascii="Times New Roman" w:eastAsia="Times New Roman" w:hAnsi="Times New Roman" w:cs="Times New Roman"/>
          <w:color w:val="000000"/>
          <w:sz w:val="28"/>
          <w:szCs w:val="28"/>
          <w:lang w:val="en-US" w:eastAsia="ru-RU"/>
        </w:rPr>
        <w:t>F</w:t>
      </w:r>
      <w:r w:rsidRPr="00AE2F6E">
        <w:rPr>
          <w:rFonts w:ascii="Times New Roman" w:eastAsia="Times New Roman" w:hAnsi="Times New Roman" w:cs="Times New Roman"/>
          <w:color w:val="000000"/>
          <w:sz w:val="28"/>
          <w:szCs w:val="28"/>
          <w:lang w:eastAsia="ru-RU"/>
        </w:rPr>
        <w:t>/</w:t>
      </w:r>
      <w:r w:rsidRPr="00AE2F6E">
        <w:rPr>
          <w:rFonts w:ascii="Times New Roman" w:eastAsia="Times New Roman" w:hAnsi="Times New Roman" w:cs="Times New Roman"/>
          <w:color w:val="000000"/>
          <w:sz w:val="28"/>
          <w:szCs w:val="28"/>
          <w:lang w:val="en-US" w:eastAsia="ru-RU"/>
        </w:rPr>
        <w:t>FH</w:t>
      </w:r>
      <w:r w:rsidRPr="00AE2F6E">
        <w:rPr>
          <w:rFonts w:ascii="Times New Roman" w:eastAsia="Times New Roman" w:hAnsi="Times New Roman" w:cs="Times New Roman"/>
          <w:color w:val="000000"/>
          <w:sz w:val="28"/>
          <w:szCs w:val="28"/>
          <w:lang w:eastAsia="ru-RU"/>
        </w:rPr>
        <w:t>. Контроллеры серии S7-400H имеет высокую надежность за счет встроенного резервирования, поэтому обладает высокой степенью коэффициента ввода/вывода. Контроллеры серии S7-400</w:t>
      </w:r>
      <w:r w:rsidRPr="00AE2F6E">
        <w:rPr>
          <w:rFonts w:ascii="Times New Roman" w:eastAsia="Times New Roman" w:hAnsi="Times New Roman" w:cs="Times New Roman"/>
          <w:color w:val="000000"/>
          <w:sz w:val="28"/>
          <w:szCs w:val="28"/>
          <w:lang w:val="en-US" w:eastAsia="ru-RU"/>
        </w:rPr>
        <w:t>F</w:t>
      </w:r>
      <w:r w:rsidRPr="00AE2F6E">
        <w:rPr>
          <w:rFonts w:ascii="Times New Roman" w:eastAsia="Times New Roman" w:hAnsi="Times New Roman" w:cs="Times New Roman"/>
          <w:color w:val="000000"/>
          <w:sz w:val="28"/>
          <w:szCs w:val="28"/>
          <w:lang w:eastAsia="ru-RU"/>
        </w:rPr>
        <w:t>/</w:t>
      </w:r>
      <w:r w:rsidRPr="00AE2F6E">
        <w:rPr>
          <w:rFonts w:ascii="Times New Roman" w:eastAsia="Times New Roman" w:hAnsi="Times New Roman" w:cs="Times New Roman"/>
          <w:color w:val="000000"/>
          <w:sz w:val="28"/>
          <w:szCs w:val="28"/>
          <w:lang w:val="en-US" w:eastAsia="ru-RU"/>
        </w:rPr>
        <w:t>FH</w:t>
      </w:r>
      <w:r w:rsidRPr="00AE2F6E">
        <w:rPr>
          <w:rFonts w:ascii="Times New Roman" w:eastAsia="Times New Roman" w:hAnsi="Times New Roman" w:cs="Times New Roman"/>
          <w:color w:val="000000"/>
          <w:sz w:val="28"/>
          <w:szCs w:val="28"/>
          <w:lang w:eastAsia="ru-RU"/>
        </w:rPr>
        <w:t> обладают большими возможностями построения систем противоаварийной защиты (ПАЗ).</w:t>
      </w:r>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 xml:space="preserve">Оборудование серии SIMATIC NET предназначено для реализации промышленных сетей. Уровни промышленных сетей разделяются также как и контроллеры (простые, средней сложности и сложные задачи автоматизации): </w:t>
      </w:r>
      <w:proofErr w:type="spellStart"/>
      <w:proofErr w:type="gramStart"/>
      <w:r w:rsidRPr="00AE2F6E">
        <w:rPr>
          <w:rFonts w:ascii="Times New Roman" w:eastAsia="Times New Roman" w:hAnsi="Times New Roman" w:cs="Times New Roman"/>
          <w:color w:val="000000"/>
          <w:sz w:val="28"/>
          <w:szCs w:val="28"/>
          <w:lang w:eastAsia="ru-RU"/>
        </w:rPr>
        <w:t>Industrial</w:t>
      </w:r>
      <w:proofErr w:type="spellEnd"/>
      <w:r w:rsidRPr="00AE2F6E">
        <w:rPr>
          <w:rFonts w:ascii="Times New Roman" w:eastAsia="Times New Roman" w:hAnsi="Times New Roman" w:cs="Times New Roman"/>
          <w:color w:val="000000"/>
          <w:sz w:val="28"/>
          <w:szCs w:val="28"/>
          <w:lang w:eastAsia="ru-RU"/>
        </w:rPr>
        <w:t xml:space="preserve"> </w:t>
      </w:r>
      <w:proofErr w:type="spellStart"/>
      <w:r w:rsidRPr="00AE2F6E">
        <w:rPr>
          <w:rFonts w:ascii="Times New Roman" w:eastAsia="Times New Roman" w:hAnsi="Times New Roman" w:cs="Times New Roman"/>
          <w:color w:val="000000"/>
          <w:sz w:val="28"/>
          <w:szCs w:val="28"/>
          <w:lang w:eastAsia="ru-RU"/>
        </w:rPr>
        <w:t>Ethernet</w:t>
      </w:r>
      <w:proofErr w:type="spellEnd"/>
      <w:r w:rsidRPr="00AE2F6E">
        <w:rPr>
          <w:rFonts w:ascii="Times New Roman" w:eastAsia="Times New Roman" w:hAnsi="Times New Roman" w:cs="Times New Roman"/>
          <w:color w:val="000000"/>
          <w:sz w:val="28"/>
          <w:szCs w:val="28"/>
          <w:lang w:eastAsia="ru-RU"/>
        </w:rPr>
        <w:t xml:space="preserve"> (IEEE 802.3 и 802.11) – международный стандарт для цеховых и групповых сетей;  PROFIBUS (IEC 61158/EN 50170) – международный стандарт для полевых и цеховых сетей; </w:t>
      </w:r>
      <w:proofErr w:type="spellStart"/>
      <w:r w:rsidRPr="00AE2F6E">
        <w:rPr>
          <w:rFonts w:ascii="Times New Roman" w:eastAsia="Times New Roman" w:hAnsi="Times New Roman" w:cs="Times New Roman"/>
          <w:color w:val="000000"/>
          <w:sz w:val="28"/>
          <w:szCs w:val="28"/>
          <w:lang w:eastAsia="ru-RU"/>
        </w:rPr>
        <w:t>AS-Interface</w:t>
      </w:r>
      <w:proofErr w:type="spellEnd"/>
      <w:r w:rsidRPr="00AE2F6E">
        <w:rPr>
          <w:rFonts w:ascii="Times New Roman" w:eastAsia="Times New Roman" w:hAnsi="Times New Roman" w:cs="Times New Roman"/>
          <w:color w:val="000000"/>
          <w:sz w:val="28"/>
          <w:szCs w:val="28"/>
          <w:lang w:eastAsia="ru-RU"/>
        </w:rPr>
        <w:t xml:space="preserve"> (IEC 62026-2/EN 50295) – международный стандарт для коммуникаций с датчиками и исполнительными механизмами; KNX(EN 50090, ANSI EIA 776) –  международная стандартизованная установочная техника для зданий и основа для автоматизации зданий.</w:t>
      </w:r>
      <w:proofErr w:type="gramEnd"/>
    </w:p>
    <w:p w:rsidR="001A6221" w:rsidRPr="00AE2F6E" w:rsidRDefault="001A6221" w:rsidP="001A6221">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AE2F6E">
        <w:rPr>
          <w:rFonts w:ascii="Times New Roman" w:eastAsia="Times New Roman" w:hAnsi="Times New Roman" w:cs="Times New Roman"/>
          <w:color w:val="000000"/>
          <w:sz w:val="28"/>
          <w:szCs w:val="28"/>
          <w:lang w:eastAsia="ru-RU"/>
        </w:rPr>
        <w:t>Техника автоматизации постоянно совершенствуется (хотя нет пределов совершенству!). Примером</w:t>
      </w:r>
      <w:r w:rsidRPr="00AE2F6E">
        <w:rPr>
          <w:rFonts w:ascii="Times New Roman" w:eastAsia="Times New Roman" w:hAnsi="Times New Roman" w:cs="Times New Roman"/>
          <w:color w:val="000000"/>
          <w:sz w:val="28"/>
          <w:szCs w:val="28"/>
          <w:lang w:val="en-GB" w:eastAsia="ru-RU"/>
        </w:rPr>
        <w:t> </w:t>
      </w:r>
      <w:r w:rsidRPr="00AE2F6E">
        <w:rPr>
          <w:rFonts w:ascii="Times New Roman" w:eastAsia="Times New Roman" w:hAnsi="Times New Roman" w:cs="Times New Roman"/>
          <w:color w:val="000000"/>
          <w:sz w:val="28"/>
          <w:szCs w:val="28"/>
          <w:lang w:eastAsia="ru-RU"/>
        </w:rPr>
        <w:t>такого</w:t>
      </w:r>
      <w:r w:rsidRPr="00AE2F6E">
        <w:rPr>
          <w:rFonts w:ascii="Times New Roman" w:eastAsia="Times New Roman" w:hAnsi="Times New Roman" w:cs="Times New Roman"/>
          <w:color w:val="000000"/>
          <w:sz w:val="28"/>
          <w:szCs w:val="28"/>
          <w:lang w:val="en-GB" w:eastAsia="ru-RU"/>
        </w:rPr>
        <w:t> </w:t>
      </w:r>
      <w:r w:rsidRPr="00AE2F6E">
        <w:rPr>
          <w:rFonts w:ascii="Times New Roman" w:eastAsia="Times New Roman" w:hAnsi="Times New Roman" w:cs="Times New Roman"/>
          <w:color w:val="000000"/>
          <w:sz w:val="28"/>
          <w:szCs w:val="28"/>
          <w:lang w:eastAsia="ru-RU"/>
        </w:rPr>
        <w:t>решения</w:t>
      </w:r>
      <w:r w:rsidRPr="00AE2F6E">
        <w:rPr>
          <w:rFonts w:ascii="Times New Roman" w:eastAsia="Times New Roman" w:hAnsi="Times New Roman" w:cs="Times New Roman"/>
          <w:color w:val="000000"/>
          <w:sz w:val="28"/>
          <w:szCs w:val="28"/>
          <w:lang w:val="en-GB" w:eastAsia="ru-RU"/>
        </w:rPr>
        <w:t> </w:t>
      </w:r>
      <w:r w:rsidRPr="00AE2F6E">
        <w:rPr>
          <w:rFonts w:ascii="Times New Roman" w:eastAsia="Times New Roman" w:hAnsi="Times New Roman" w:cs="Times New Roman"/>
          <w:color w:val="000000"/>
          <w:sz w:val="28"/>
          <w:szCs w:val="28"/>
          <w:lang w:eastAsia="ru-RU"/>
        </w:rPr>
        <w:t>является</w:t>
      </w:r>
      <w:r w:rsidRPr="00AE2F6E">
        <w:rPr>
          <w:rFonts w:ascii="Times New Roman" w:eastAsia="Times New Roman" w:hAnsi="Times New Roman" w:cs="Times New Roman"/>
          <w:color w:val="000000"/>
          <w:sz w:val="28"/>
          <w:szCs w:val="28"/>
          <w:lang w:val="en-GB" w:eastAsia="ru-RU"/>
        </w:rPr>
        <w:t> </w:t>
      </w:r>
      <w:r w:rsidRPr="00AE2F6E">
        <w:rPr>
          <w:rFonts w:ascii="Times New Roman" w:eastAsia="Times New Roman" w:hAnsi="Times New Roman" w:cs="Times New Roman"/>
          <w:color w:val="000000"/>
          <w:sz w:val="28"/>
          <w:szCs w:val="28"/>
          <w:lang w:eastAsia="ru-RU"/>
        </w:rPr>
        <w:t>группа</w:t>
      </w:r>
      <w:r w:rsidRPr="00AE2F6E">
        <w:rPr>
          <w:rFonts w:ascii="Times New Roman" w:eastAsia="Times New Roman" w:hAnsi="Times New Roman" w:cs="Times New Roman"/>
          <w:color w:val="000000"/>
          <w:sz w:val="28"/>
          <w:szCs w:val="28"/>
          <w:lang w:val="en-GB" w:eastAsia="ru-RU"/>
        </w:rPr>
        <w:t> </w:t>
      </w:r>
      <w:r w:rsidRPr="00AE2F6E">
        <w:rPr>
          <w:rFonts w:ascii="Times New Roman" w:eastAsia="Times New Roman" w:hAnsi="Times New Roman" w:cs="Times New Roman"/>
          <w:color w:val="000000"/>
          <w:sz w:val="28"/>
          <w:szCs w:val="28"/>
          <w:lang w:eastAsia="ru-RU"/>
        </w:rPr>
        <w:t>элементов</w:t>
      </w:r>
      <w:r w:rsidRPr="00AE2F6E">
        <w:rPr>
          <w:rFonts w:ascii="Times New Roman" w:eastAsia="Times New Roman" w:hAnsi="Times New Roman" w:cs="Times New Roman"/>
          <w:color w:val="000000"/>
          <w:sz w:val="28"/>
          <w:szCs w:val="28"/>
          <w:lang w:val="en-US" w:eastAsia="ru-RU"/>
        </w:rPr>
        <w:t> ECOFAST (Energy and Communication Field Installation System). </w:t>
      </w:r>
      <w:r w:rsidRPr="00AE2F6E">
        <w:rPr>
          <w:rFonts w:ascii="Times New Roman" w:eastAsia="Times New Roman" w:hAnsi="Times New Roman" w:cs="Times New Roman"/>
          <w:color w:val="000000"/>
          <w:sz w:val="28"/>
          <w:szCs w:val="28"/>
          <w:lang w:eastAsia="ru-RU"/>
        </w:rPr>
        <w:t>Это системное решение для децентрализации вне шкафов управления. Оно устанавливает новые стандарты в оборудовании машин и механизмов, установок с автоматизацией, коммутационных устройств и систем электроприводов. Центральная идея  - далеко идущая децентрализация, модульность установок, всесторонняя диагностика нижнего уровня компонентов.</w:t>
      </w:r>
    </w:p>
    <w:p w:rsidR="001A6221" w:rsidRDefault="001A6221" w:rsidP="001A6221"/>
    <w:p w:rsidR="00A04F76" w:rsidRDefault="001A6221"/>
    <w:sectPr w:rsidR="00A04F76" w:rsidSect="001A55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oNotDisplayPageBoundaries/>
  <w:proofState w:spelling="clean" w:grammar="clean"/>
  <w:defaultTabStop w:val="708"/>
  <w:characterSpacingControl w:val="doNotCompress"/>
  <w:compat/>
  <w:rsids>
    <w:rsidRoot w:val="001A6221"/>
    <w:rsid w:val="00067CAA"/>
    <w:rsid w:val="001A5533"/>
    <w:rsid w:val="001A6221"/>
    <w:rsid w:val="00FE56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622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622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62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jpeg"/><Relationship Id="rId5" Type="http://schemas.openxmlformats.org/officeDocument/2006/relationships/image" Target="media/image2.gif"/><Relationship Id="rId10" Type="http://schemas.openxmlformats.org/officeDocument/2006/relationships/image" Target="media/image7.gif"/><Relationship Id="rId4" Type="http://schemas.openxmlformats.org/officeDocument/2006/relationships/image" Target="media/image1.gif"/><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1412</Words>
  <Characters>8051</Characters>
  <Application>Microsoft Office Word</Application>
  <DocSecurity>0</DocSecurity>
  <Lines>67</Lines>
  <Paragraphs>18</Paragraphs>
  <ScaleCrop>false</ScaleCrop>
  <Company/>
  <LinksUpToDate>false</LinksUpToDate>
  <CharactersWithSpaces>9445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2024-09-16T07:29:00Z</dcterms:created>
  <dcterms:modified xsi:type="dcterms:W3CDTF">2024-09-16T07:30:00Z</dcterms:modified>
</cp:coreProperties>
</file>